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31F9" w:rsidRDefault="000C359E">
      <w:pPr>
        <w:pStyle w:val="ab"/>
        <w:tabs>
          <w:tab w:val="left" w:pos="2977"/>
        </w:tabs>
        <w:rPr>
          <w:rFonts w:ascii="Liberation Serif" w:hAnsi="Liberation Serif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8170" cy="861060"/>
            <wp:effectExtent l="0" t="0" r="0" b="0"/>
            <wp:docPr id="1" name="Рисунок 4" descr="C:\Users\1\Desktop\shali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1\Desktop\shalinskii_rayon_co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F9" w:rsidRDefault="000C359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ДУМА</w:t>
      </w:r>
    </w:p>
    <w:p w:rsidR="00E931F9" w:rsidRDefault="000C359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ШАЛИНСКОГО МУНИЦИПАЛЬНОГО ОКРУГА</w:t>
      </w:r>
    </w:p>
    <w:p w:rsidR="00E931F9" w:rsidRDefault="000C359E">
      <w:pPr>
        <w:pStyle w:val="1"/>
        <w:jc w:val="center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spacing w:val="40"/>
          <w:szCs w:val="28"/>
        </w:rPr>
        <w:t>РЕШЕНИЕ</w:t>
      </w:r>
    </w:p>
    <w:tbl>
      <w:tblPr>
        <w:tblW w:w="9675" w:type="dxa"/>
        <w:tblInd w:w="72" w:type="dxa"/>
        <w:tblLook w:val="0000" w:firstRow="0" w:lastRow="0" w:firstColumn="0" w:lastColumn="0" w:noHBand="0" w:noVBand="0"/>
      </w:tblPr>
      <w:tblGrid>
        <w:gridCol w:w="9675"/>
      </w:tblGrid>
      <w:tr w:rsidR="00E931F9">
        <w:trPr>
          <w:trHeight w:val="216"/>
        </w:trPr>
        <w:tc>
          <w:tcPr>
            <w:tcW w:w="9675" w:type="dxa"/>
            <w:tcBorders>
              <w:top w:val="thinThickSmallGap" w:sz="24" w:space="0" w:color="000000"/>
            </w:tcBorders>
          </w:tcPr>
          <w:p w:rsidR="00E931F9" w:rsidRDefault="000C359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проект</w:t>
            </w:r>
          </w:p>
          <w:p w:rsidR="00E931F9" w:rsidRDefault="000C359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</w:tr>
    </w:tbl>
    <w:p w:rsidR="00E931F9" w:rsidRDefault="000C359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          апреля 2025 года №   </w:t>
      </w:r>
    </w:p>
    <w:p w:rsidR="00E931F9" w:rsidRDefault="00E931F9">
      <w:pPr>
        <w:rPr>
          <w:rFonts w:ascii="Liberation Serif" w:hAnsi="Liberation Serif"/>
          <w:sz w:val="28"/>
          <w:szCs w:val="28"/>
        </w:rPr>
      </w:pPr>
    </w:p>
    <w:p w:rsidR="00E931F9" w:rsidRDefault="000C359E">
      <w:pPr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Шаля</w:t>
      </w:r>
    </w:p>
    <w:p w:rsidR="00E931F9" w:rsidRDefault="00E931F9">
      <w:pPr>
        <w:pStyle w:val="a7"/>
        <w:rPr>
          <w:rFonts w:ascii="Liberation Serif" w:hAnsi="Liberation Serif"/>
          <w:b/>
          <w:i/>
          <w:szCs w:val="28"/>
        </w:rPr>
      </w:pPr>
    </w:p>
    <w:p w:rsidR="00E931F9" w:rsidRDefault="000C359E">
      <w:pPr>
        <w:pStyle w:val="ConsPlu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 xml:space="preserve">О   внесении изменений в Положение  о муниципальном лесном контроле </w:t>
      </w:r>
    </w:p>
    <w:p w:rsidR="00E931F9" w:rsidRDefault="000C359E">
      <w:pPr>
        <w:pStyle w:val="ConsPlu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 xml:space="preserve">на территории </w:t>
      </w:r>
      <w:r>
        <w:rPr>
          <w:rFonts w:ascii="Liberation Serif" w:hAnsi="Liberation Serif" w:cs="Times New Roman"/>
          <w:i/>
          <w:sz w:val="28"/>
          <w:szCs w:val="28"/>
        </w:rPr>
        <w:t>Шалинского</w:t>
      </w:r>
      <w:r>
        <w:rPr>
          <w:rFonts w:ascii="Liberation Serif" w:hAnsi="Liberation Serif" w:cs="Times New Roman"/>
          <w:i/>
          <w:sz w:val="28"/>
          <w:szCs w:val="28"/>
        </w:rPr>
        <w:t xml:space="preserve"> муниципального округа, </w:t>
      </w:r>
      <w:proofErr w:type="gramStart"/>
      <w:r>
        <w:rPr>
          <w:rFonts w:ascii="Liberation Serif" w:hAnsi="Liberation Serif" w:cs="Times New Roman"/>
          <w:i/>
          <w:sz w:val="28"/>
          <w:szCs w:val="28"/>
        </w:rPr>
        <w:t>утвержденное</w:t>
      </w:r>
      <w:proofErr w:type="gramEnd"/>
      <w:r>
        <w:rPr>
          <w:rFonts w:ascii="Liberation Serif" w:hAnsi="Liberation Serif" w:cs="Times New Roman"/>
          <w:i/>
          <w:sz w:val="28"/>
          <w:szCs w:val="28"/>
        </w:rPr>
        <w:t xml:space="preserve"> решением Думы Шалинского городского округа от 23.12.2021 № 34</w:t>
      </w:r>
    </w:p>
    <w:p w:rsidR="00E931F9" w:rsidRDefault="00E931F9">
      <w:pPr>
        <w:pStyle w:val="ConsPlu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E931F9" w:rsidRDefault="00E931F9">
      <w:pPr>
        <w:pStyle w:val="ConsPlu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E931F9" w:rsidRDefault="000C359E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 с</w:t>
      </w:r>
      <w:r>
        <w:rPr>
          <w:rFonts w:ascii="Liberation Serif" w:hAnsi="Liberation Serif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руководствуясь статьей 22 Устава Шалинского муниципального округа, Дума Шалинского муниципального округа </w:t>
      </w:r>
    </w:p>
    <w:p w:rsidR="00E931F9" w:rsidRDefault="00E931F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931F9" w:rsidRDefault="000C359E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РЕШИЛА</w:t>
      </w:r>
      <w:r>
        <w:rPr>
          <w:rFonts w:ascii="Liberation Serif" w:hAnsi="Liberation Serif" w:cs="Times New Roman"/>
          <w:sz w:val="28"/>
          <w:szCs w:val="28"/>
        </w:rPr>
        <w:t>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 Внести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в Положение о муниципальном лесном контроле на территории Шалинского муниципального округа, утвержденное Решением Думы Шалинского городского округа от 23.12.2021 № 34 (далее – Положение), следующие изменения: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1.1. изложить пункт 11 Положения в новой редак</w:t>
      </w:r>
      <w:r>
        <w:rPr>
          <w:rFonts w:ascii="Liberation Serif" w:hAnsi="Liberation Serif" w:cs="Times New Roman"/>
          <w:b w:val="0"/>
          <w:sz w:val="28"/>
          <w:szCs w:val="28"/>
        </w:rPr>
        <w:t>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«11. Муниципальный лесной контроль осуществляются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</w:t>
      </w:r>
      <w:r>
        <w:rPr>
          <w:rFonts w:ascii="Liberation Serif" w:hAnsi="Liberation Serif" w:cs="Times New Roman"/>
          <w:b w:val="0"/>
          <w:sz w:val="28"/>
          <w:szCs w:val="28"/>
        </w:rPr>
        <w:t>, интенсивность и результаты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>1.2. дополнить Положение пунктом 11.1. следующего содержания: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«11.1.  Контрольный орган при осуществлении муниципального лесного контроля относит поднадзорные объекты к одной из следующих категорий риска причинения вреда (ущ</w:t>
      </w:r>
      <w:r>
        <w:rPr>
          <w:rFonts w:ascii="Liberation Serif" w:hAnsi="Liberation Serif" w:cs="Times New Roman"/>
          <w:b w:val="0"/>
          <w:sz w:val="28"/>
          <w:szCs w:val="28"/>
        </w:rPr>
        <w:t>ерба) (далее - категории риска):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11.1.1. значительный  риск;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>11.1.2. умеренный риск;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11.1.3. низкий риск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.»;</w:t>
      </w:r>
      <w:proofErr w:type="gramEnd"/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1.3. дополнить Положение пунктом 11.2. следующего содержания: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«11.2. Критериями отнесения объекта контроля к категории риска является: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11.2.1. для з</w:t>
      </w:r>
      <w:r>
        <w:rPr>
          <w:rFonts w:ascii="Liberation Serif" w:hAnsi="Liberation Serif" w:cs="Times New Roman"/>
          <w:b w:val="0"/>
          <w:sz w:val="28"/>
          <w:szCs w:val="28"/>
        </w:rPr>
        <w:t>начительного риска - установление в течение 2 лет, предшествующих моменту отнесения контрольным органом поднадзорного объекта к одной из категорий риска, факта причинения контролируемым лицом, в том числе вследствие действий (бездействия) должностных лиц к</w:t>
      </w:r>
      <w:r>
        <w:rPr>
          <w:rFonts w:ascii="Liberation Serif" w:hAnsi="Liberation Serif" w:cs="Times New Roman"/>
          <w:b w:val="0"/>
          <w:sz w:val="28"/>
          <w:szCs w:val="28"/>
        </w:rPr>
        <w:t>онтролируемого лица, иных контролируемых лиц, действующих в интересах контролируемого лица, вреда лесам и находящимся в них природным объектам вследствие нарушения лесного законодательства, в том числе выразившихся в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незаконной рубке деревьев, загрязнении </w:t>
      </w:r>
      <w:r>
        <w:rPr>
          <w:rFonts w:ascii="Liberation Serif" w:hAnsi="Liberation Serif" w:cs="Times New Roman"/>
          <w:b w:val="0"/>
          <w:sz w:val="28"/>
          <w:szCs w:val="28"/>
        </w:rPr>
        <w:t>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</w:t>
      </w:r>
      <w:r>
        <w:rPr>
          <w:rFonts w:ascii="Liberation Serif" w:hAnsi="Liberation Serif" w:cs="Times New Roman"/>
          <w:b w:val="0"/>
          <w:sz w:val="28"/>
          <w:szCs w:val="28"/>
        </w:rPr>
        <w:t>ра;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11.2.2. для умеренного риска - привлечение в течение 2 лет, предшествующих моменту отнесения контрольным органом поднадзорного объекта к одной из категорий риска, контролируемого лица, в том числе вследствие действий (бездействия) должностных лиц контр</w:t>
      </w:r>
      <w:r>
        <w:rPr>
          <w:rFonts w:ascii="Liberation Serif" w:hAnsi="Liberation Serif" w:cs="Times New Roman"/>
          <w:b w:val="0"/>
          <w:sz w:val="28"/>
          <w:szCs w:val="28"/>
        </w:rPr>
        <w:t>олируемого лица, иных контролируемых лиц, действующих в интересах контролируемого лица, к административной ответственности по фактам нарушений лесного законодательства без причинения вреда лесам и находящимся в них природным объектам;</w:t>
      </w:r>
      <w:proofErr w:type="gramEnd"/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11.2.3. для низкого р</w:t>
      </w:r>
      <w:r>
        <w:rPr>
          <w:rFonts w:ascii="Liberation Serif" w:hAnsi="Liberation Serif" w:cs="Times New Roman"/>
          <w:b w:val="0"/>
          <w:sz w:val="28"/>
          <w:szCs w:val="28"/>
        </w:rPr>
        <w:t>иска - отсутствие обстоятельств, предусмотренных для значительного и умеренного риска.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</w:t>
      </w:r>
      <w:r>
        <w:rPr>
          <w:rFonts w:ascii="Liberation Serif" w:hAnsi="Liberation Serif" w:cs="Times New Roman"/>
          <w:b w:val="0"/>
          <w:sz w:val="28"/>
          <w:szCs w:val="28"/>
        </w:rPr>
        <w:t>унктом 11.2.1 настоящего пункта осуществляется согласно вступившему в законную силу постановлению о назначении административного наказания, приговора суда и (или) иного судебного постановления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.».;</w:t>
      </w:r>
      <w:proofErr w:type="gramEnd"/>
    </w:p>
    <w:p w:rsidR="00E931F9" w:rsidRDefault="00E931F9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1.3. дополнить Положение пунктом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20.1. </w:t>
      </w:r>
      <w:r>
        <w:rPr>
          <w:rFonts w:ascii="Liberation Serif" w:hAnsi="Liberation Serif" w:cs="Times New Roman"/>
          <w:b w:val="0"/>
          <w:sz w:val="28"/>
          <w:szCs w:val="28"/>
        </w:rPr>
        <w:t>следующего содержан</w:t>
      </w:r>
      <w:r>
        <w:rPr>
          <w:rFonts w:ascii="Liberation Serif" w:hAnsi="Liberation Serif" w:cs="Times New Roman"/>
          <w:b w:val="0"/>
          <w:sz w:val="28"/>
          <w:szCs w:val="28"/>
        </w:rPr>
        <w:t>ия: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«20.1. 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визитов: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20.1.1. плановые контрольные мероприятия в отношении объектов контроля, которые отнесены к кат</w:t>
      </w:r>
      <w:r>
        <w:rPr>
          <w:rFonts w:ascii="Liberation Serif" w:hAnsi="Liberation Serif" w:cs="Times New Roman"/>
          <w:b w:val="0"/>
          <w:sz w:val="28"/>
          <w:szCs w:val="28"/>
        </w:rPr>
        <w:t>егории значительного, умеренного, низкого риска не проводятся.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 xml:space="preserve">20.2.2. периодичность обязательных профилактических визитов  в отношении объектов контроля, которые отнесены к категории значительного, умеренного риска, определяется Правительством Российской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Федерации.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20.3.3. обязательные профилактические визиты в отношении объектов контроля, которые отнесены к категории низкого риска не проводятся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.»;</w:t>
      </w:r>
      <w:proofErr w:type="gramEnd"/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1.4. дополнить положение пунктом </w:t>
      </w:r>
      <w:r>
        <w:rPr>
          <w:rFonts w:ascii="Liberation Serif" w:hAnsi="Liberation Serif" w:cs="Times New Roman"/>
          <w:b w:val="0"/>
          <w:sz w:val="28"/>
          <w:szCs w:val="28"/>
        </w:rPr>
        <w:t>20.2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Положения в новой редакции: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«20.2. Профилактический визит проводится в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>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1.5. дополнить Положение пунктами </w:t>
      </w:r>
      <w:r>
        <w:rPr>
          <w:rFonts w:ascii="Liberation Serif" w:hAnsi="Liberation Serif" w:cs="Times New Roman"/>
          <w:b w:val="0"/>
          <w:sz w:val="28"/>
          <w:szCs w:val="28"/>
        </w:rPr>
        <w:t>20.2.1.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- 20.2.2. следующего содер</w:t>
      </w:r>
      <w:r>
        <w:rPr>
          <w:rFonts w:ascii="Liberation Serif" w:hAnsi="Liberation Serif" w:cs="Times New Roman"/>
          <w:b w:val="0"/>
          <w:sz w:val="28"/>
          <w:szCs w:val="28"/>
        </w:rPr>
        <w:t>жания: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«20.2.1.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</w:t>
      </w:r>
      <w:r>
        <w:rPr>
          <w:rFonts w:ascii="Liberation Serif" w:hAnsi="Liberation Serif" w:cs="Times New Roman"/>
          <w:b w:val="0"/>
          <w:sz w:val="28"/>
          <w:szCs w:val="28"/>
        </w:rPr>
        <w:t>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отнесени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я объектов контроля к категориям риска, и проводит оценку уровня соблюдения контролируемым лицом обязательных требований.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20.2.2. Профилактический визит проводится по инициативе контрольного органа (обязательный профилактический визит) или по инициативе к</w:t>
      </w:r>
      <w:r>
        <w:rPr>
          <w:rFonts w:ascii="Liberation Serif" w:hAnsi="Liberation Serif" w:cs="Times New Roman"/>
          <w:b w:val="0"/>
          <w:sz w:val="28"/>
          <w:szCs w:val="28"/>
        </w:rPr>
        <w:t>онтролируемого лица.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20.2.2.1. Обязательный профилактический визит проводится: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20.2.2.2.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</w:t>
      </w:r>
      <w:r>
        <w:rPr>
          <w:rFonts w:ascii="Liberation Serif" w:hAnsi="Liberation Serif" w:cs="Times New Roman"/>
          <w:b w:val="0"/>
          <w:sz w:val="28"/>
          <w:szCs w:val="28"/>
        </w:rPr>
        <w:t>тических мероприятий, установленной частью 2 статьи 25 настоящего Федерального закона от 31 июля 2020 года № 248-ФЗ;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20.2.2.3. по поручению Президента Российской Федерации, Председателя Правительства Российской Федерации или Заместителя Председателя Правит</w:t>
      </w:r>
      <w:r>
        <w:rPr>
          <w:rFonts w:ascii="Liberation Serif" w:hAnsi="Liberation Serif" w:cs="Times New Roman"/>
          <w:b w:val="0"/>
          <w:sz w:val="28"/>
          <w:szCs w:val="28"/>
        </w:rPr>
        <w:t>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высшего должностного лица субъекта Российской Федерации.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20.2.3</w:t>
      </w:r>
      <w:r>
        <w:rPr>
          <w:rFonts w:ascii="Liberation Serif" w:hAnsi="Liberation Serif" w:cs="Times New Roman"/>
          <w:b w:val="0"/>
          <w:sz w:val="28"/>
          <w:szCs w:val="28"/>
        </w:rPr>
        <w:t>. Обязательный профилакт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ический визит не предусматривает отказ контролируемого лица от его проведения.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20.2.4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рамках обязательного профилактического визита инспектор при необходимости проводит осмотр, истребование необходимых документов, </w:t>
      </w:r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>отбор проб (образцов), инструментальное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обследование, испытание, экспертизу.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20.2.5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20.2.6. По окончании проведения обя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от 31 июля 2020 года № 248-ФЗ для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контрольных мероприятий.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20.2.7.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от 31 июля 2020 года № 248-ФЗ.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20.2.8. </w:t>
      </w:r>
      <w:r>
        <w:rPr>
          <w:rFonts w:ascii="Liberation Serif" w:hAnsi="Liberation Serif" w:cs="Times New Roman"/>
          <w:b w:val="0"/>
          <w:sz w:val="28"/>
          <w:szCs w:val="28"/>
        </w:rPr>
        <w:t>В случае нево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65 Федерального закона от 31 июля 2020 года № 248-ФЗ.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20.2.9.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с даты составления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акта о невозможнос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20.2.10.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Предписание об устранении выявленных нарушений обязательных требований выдается к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от 31 июля 2020 года № 248-ФЗ.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20.2.11.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Профилактический визит по ин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20.2.12.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сматривает заявление в течение десяти рабочих дней и принимает решение о проведении </w:t>
      </w:r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 xml:space="preserve">профилактического визита либо об отказе в его проведении, о чем уведомляет контролируемое лицо.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20.2.13. В случае принятия решения о проведении профилактического визита ко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20.2.14.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Решение об отказе в проведении профилактического визита принимается в следую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щих случаях: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20.2.14.1.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от контролируемого лица поступило уведомление об отзыве заявления;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20.2.14.2.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20.2.14.3.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в течение года до даты подачи заявления контрольным органом проведен профи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лактический визит по ранее поданному заявлению;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20.2.14.4.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</w:t>
      </w:r>
      <w:r>
        <w:rPr>
          <w:rFonts w:ascii="Liberation Serif" w:hAnsi="Liberation Serif" w:cs="Times New Roman"/>
          <w:b w:val="0"/>
          <w:sz w:val="28"/>
          <w:szCs w:val="28"/>
        </w:rPr>
        <w:t>20.2.15.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Решение об отказе в проведении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профилактического визита может быть обжаловано контролируемым лицом в порядке, установленном Федеральным законом от 31 июля 2020 года № 248-ФЗ.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20.2.16.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Контролируемое лицо вправе отозвать заявление либо направить отказ от проведения профилактического ви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зита, уведомив об этом контрольный орган не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позднее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чем за пять рабочих дней до даты его проведения.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20.2.17. </w:t>
      </w:r>
      <w:r>
        <w:rPr>
          <w:rFonts w:ascii="Liberation Serif" w:hAnsi="Liberation Serif" w:cs="Times New Roman"/>
          <w:b w:val="0"/>
          <w:sz w:val="28"/>
          <w:szCs w:val="28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тание.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20.2.18.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20.2.19.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Предписания об устранении выявленных в ходе профилактического визита нарушений обязательных требований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контролируемым лицам не могут выдаваться.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20.2.20.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В случае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,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</w:t>
      </w:r>
      <w:r>
        <w:rPr>
          <w:rFonts w:ascii="Liberation Serif" w:hAnsi="Liberation Serif" w:cs="Times New Roman"/>
          <w:b w:val="0"/>
          <w:sz w:val="28"/>
          <w:szCs w:val="28"/>
        </w:rPr>
        <w:t>щерб) причинен,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мероприятий. »;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1.6. изложить пункт 34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>
        <w:rPr>
          <w:rFonts w:ascii="Liberation Serif" w:hAnsi="Liberation Serif" w:cs="Times New Roman"/>
          <w:b w:val="0"/>
          <w:sz w:val="28"/>
          <w:szCs w:val="28"/>
        </w:rPr>
        <w:t>Положения в новой редакции: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>«</w:t>
      </w:r>
      <w:r>
        <w:rPr>
          <w:rFonts w:ascii="Liberation Serif" w:hAnsi="Liberation Serif" w:cs="Times New Roman"/>
          <w:b w:val="0"/>
          <w:sz w:val="28"/>
          <w:szCs w:val="28"/>
        </w:rPr>
        <w:t>34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. Плановые контрольные мероприятия при осуществлении муниципального лесного контроля на территории </w:t>
      </w:r>
      <w:r>
        <w:rPr>
          <w:rFonts w:ascii="Liberation Serif" w:hAnsi="Liberation Serif" w:cs="Times New Roman"/>
          <w:b w:val="0"/>
          <w:sz w:val="28"/>
          <w:szCs w:val="28"/>
        </w:rPr>
        <w:t>Шалинского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муниципального округа не проводятся.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 Внеплановые контрольные мероприятия, за исключением внеплановых контрольных мероприятий без взаимодействия,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могут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проводится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только после согласования с прокуратурой Свердловской области, за исключением случаев их проведения в соответствии с пунктами 3 - 6 части 1, частью 3 статьи 57 и частью 12 статьи 66 Федерального закона от 31 июля 2020 года № 248-ФЗ.»;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1.7.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изложить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пункт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35 </w:t>
      </w:r>
      <w:r>
        <w:rPr>
          <w:rFonts w:ascii="Liberation Serif" w:hAnsi="Liberation Serif" w:cs="Times New Roman"/>
          <w:b w:val="0"/>
          <w:sz w:val="28"/>
          <w:szCs w:val="28"/>
        </w:rPr>
        <w:t>следующей редакции: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«35 Инспекционный визит, рейдовый осмотр, выездная проверка,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</w:t>
      </w:r>
      <w:r>
        <w:rPr>
          <w:rFonts w:ascii="Liberation Serif" w:hAnsi="Liberation Serif" w:cs="Times New Roman"/>
          <w:b w:val="0"/>
          <w:sz w:val="28"/>
          <w:szCs w:val="28"/>
        </w:rPr>
        <w:t>о приложения «Инспектор»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>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1.8.  дополнить Положение пунктом 25.1. следующего содержания: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«25.1. Оценка соблюдения контролируемыми лицами обязательных требований при осуществлении муниципального лесного контроля контрольным органом не может проводиться ин</w:t>
      </w:r>
      <w:r>
        <w:rPr>
          <w:rFonts w:ascii="Liberation Serif" w:hAnsi="Liberation Serif" w:cs="Times New Roman"/>
          <w:b w:val="0"/>
          <w:sz w:val="28"/>
          <w:szCs w:val="28"/>
        </w:rPr>
        <w:t>ыми способами, кроме как посредством контрольных мероприятий без взаимодействия, указанных в пункте 34 настоящего Положения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.»;</w:t>
      </w:r>
      <w:proofErr w:type="gramEnd"/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1.9. изложить пункт 33 Положения в новой редакции: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«33. Внеплановые контрольные мероприятия, за исключением контрольных мероприят</w:t>
      </w:r>
      <w:r>
        <w:rPr>
          <w:rFonts w:ascii="Liberation Serif" w:hAnsi="Liberation Serif" w:cs="Times New Roman"/>
          <w:b w:val="0"/>
          <w:sz w:val="28"/>
          <w:szCs w:val="28"/>
        </w:rPr>
        <w:t>ий без взаимодействия, проводятся по следующим основаниям: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33.1.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от 31 </w:t>
      </w:r>
      <w:r>
        <w:rPr>
          <w:rFonts w:ascii="Liberation Serif" w:hAnsi="Liberation Serif" w:cs="Times New Roman"/>
          <w:b w:val="0"/>
          <w:sz w:val="28"/>
          <w:szCs w:val="28"/>
        </w:rPr>
        <w:t>июля 2020 года № 248-ФЗ;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33.2.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33.3. требование прокурора о проведении контрольного мер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33.4. истечение срока исполнения решения контрольного органа об устранении выявленного нарушения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обязательных требований - в случаях, установленных частью 1 статьи 95 Федерального закона от 31 июля 2020 года № 248-ФЗ.;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33.5. выявление соответствия объекта контроля параметрам, утвержденным индикаторами риска нарушения обязательных требований, или отк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лонения объекта контроля от таких параметров; 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>33.6. уклонение контролируемого лица от проведения обязательного профилактического визита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.»;</w:t>
      </w:r>
      <w:proofErr w:type="gramEnd"/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color w:val="000000"/>
        </w:rPr>
      </w:pP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t>1.10. изложить пункт 32 Положения в новой редакции: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«32. Акт контрольного мероприятия, проведение которого было </w:t>
      </w:r>
      <w:r>
        <w:rPr>
          <w:rFonts w:ascii="Liberation Serif" w:hAnsi="Liberation Serif" w:cs="Times New Roman"/>
          <w:b w:val="0"/>
          <w:sz w:val="28"/>
          <w:szCs w:val="28"/>
        </w:rPr>
        <w:t>согласовано прокуратурой Свердловской области, направляется в прокуратуру Свердловской области посредством единого реестра контрольных мероприятий непосредственно после его оформления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>1.11. изложить пункт 33 Положения в новой редакции: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«33. Контролируем</w:t>
      </w:r>
      <w:r>
        <w:rPr>
          <w:rFonts w:ascii="Liberation Serif" w:hAnsi="Liberation Serif" w:cs="Times New Roman"/>
          <w:b w:val="0"/>
          <w:sz w:val="28"/>
          <w:szCs w:val="28"/>
        </w:rPr>
        <w:t>ое лицо или его представитель знакомится с содержанием акта на месте проведения контрольного мероприятия, за исключением случаев, установленных пунктом 33.1. настоящего Положения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>1.1</w:t>
      </w:r>
      <w:r>
        <w:rPr>
          <w:rFonts w:ascii="Liberation Serif" w:hAnsi="Liberation Serif" w:cs="Times New Roman"/>
          <w:b w:val="0"/>
          <w:sz w:val="28"/>
          <w:szCs w:val="28"/>
        </w:rPr>
        <w:t>2</w:t>
      </w:r>
      <w:r>
        <w:rPr>
          <w:rFonts w:ascii="Liberation Serif" w:hAnsi="Liberation Serif" w:cs="Times New Roman"/>
          <w:b w:val="0"/>
          <w:sz w:val="28"/>
          <w:szCs w:val="28"/>
        </w:rPr>
        <w:t>. дополнить Положение пунктом 33.1. следующего содержания: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«33.1.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В сл</w:t>
      </w:r>
      <w:r>
        <w:rPr>
          <w:rFonts w:ascii="Liberation Serif" w:hAnsi="Liberation Serif" w:cs="Times New Roman"/>
          <w:b w:val="0"/>
          <w:sz w:val="28"/>
          <w:szCs w:val="28"/>
        </w:rPr>
        <w:t>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</w:t>
      </w:r>
      <w:r>
        <w:rPr>
          <w:rFonts w:ascii="Liberation Serif" w:hAnsi="Liberation Serif" w:cs="Times New Roman"/>
          <w:b w:val="0"/>
          <w:sz w:val="28"/>
          <w:szCs w:val="28"/>
        </w:rPr>
        <w:t>дения невозможно в случаях, установленных Федеральным законом от 31 июля 2020 года № 248-ФЗ, контрольный орган направляет акт контролируемому лицу в порядке, установленном статьей 21 Федерального закона 31 июля 2020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года № 248-ФЗ.»;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1.1</w:t>
      </w:r>
      <w:r>
        <w:rPr>
          <w:rFonts w:ascii="Liberation Serif" w:hAnsi="Liberation Serif" w:cs="Times New Roman"/>
          <w:b w:val="0"/>
          <w:sz w:val="28"/>
          <w:szCs w:val="28"/>
        </w:rPr>
        <w:t>3</w:t>
      </w:r>
      <w:r>
        <w:rPr>
          <w:rFonts w:ascii="Liberation Serif" w:hAnsi="Liberation Serif" w:cs="Times New Roman"/>
          <w:b w:val="0"/>
          <w:sz w:val="28"/>
          <w:szCs w:val="28"/>
        </w:rPr>
        <w:t>.  дополнить Положе</w:t>
      </w:r>
      <w:r>
        <w:rPr>
          <w:rFonts w:ascii="Liberation Serif" w:hAnsi="Liberation Serif" w:cs="Times New Roman"/>
          <w:b w:val="0"/>
          <w:sz w:val="28"/>
          <w:szCs w:val="28"/>
        </w:rPr>
        <w:t>ние пунктом 33.2. следующего содержания: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«33.2.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31 июля 2020 года № </w:t>
      </w:r>
      <w:r>
        <w:rPr>
          <w:rFonts w:ascii="Liberation Serif" w:hAnsi="Liberation Serif" w:cs="Times New Roman"/>
          <w:b w:val="0"/>
          <w:sz w:val="28"/>
          <w:szCs w:val="28"/>
        </w:rPr>
        <w:t>248-ФЗ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порядке, предусмотренном пунктом 2 части 5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 xml:space="preserve"> статьи 21 Федерального закона 31 июля 202</w:t>
      </w:r>
      <w:r>
        <w:rPr>
          <w:rFonts w:ascii="Liberation Serif" w:hAnsi="Liberation Serif" w:cs="Times New Roman"/>
          <w:b w:val="0"/>
          <w:sz w:val="28"/>
          <w:szCs w:val="28"/>
        </w:rPr>
        <w:t>0 года № 248-ФЗ.»;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1.19. изложить подпункт 1 пункта 35 Положения в новой редакции: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оков их устранения, а также других мероприятий, предусмотренных федеральным законом о виде контроля 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;»</w:t>
      </w: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t>;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1.20. изложить пункт 40 Положения в новой редакции: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«40. Жалоба подлежит рассмотрению уполномоченным на рассмотрение жалобы органом в течение пятнадцати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рабочих дней со дня ее регистрации в подсистеме досудебного обжалования.</w:t>
      </w:r>
    </w:p>
    <w:p w:rsidR="00E931F9" w:rsidRDefault="000C359E">
      <w:pPr>
        <w:pStyle w:val="ConsPlusTitle"/>
        <w:widowControl/>
        <w:tabs>
          <w:tab w:val="left" w:pos="567"/>
        </w:tabs>
        <w:ind w:firstLine="567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>
        <w:rPr>
          <w:rFonts w:ascii="Liberation Serif" w:hAnsi="Liberation Serif" w:cs="Times New Roman"/>
          <w:b w:val="0"/>
          <w:sz w:val="28"/>
          <w:szCs w:val="28"/>
        </w:rPr>
        <w:t>.»;</w:t>
      </w:r>
    </w:p>
    <w:p w:rsidR="00E931F9" w:rsidRDefault="000C359E">
      <w:pPr>
        <w:pStyle w:val="ConsPlusTitle"/>
        <w:widowControl/>
        <w:tabs>
          <w:tab w:val="left" w:pos="567"/>
        </w:tabs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End"/>
      <w:r>
        <w:rPr>
          <w:rFonts w:ascii="Liberation Serif" w:hAnsi="Liberation Serif" w:cs="Times New Roman"/>
          <w:b w:val="0"/>
          <w:sz w:val="28"/>
          <w:szCs w:val="28"/>
        </w:rPr>
        <w:lastRenderedPageBreak/>
        <w:tab/>
        <w:t xml:space="preserve">2. Опубликовать </w:t>
      </w:r>
      <w:r>
        <w:rPr>
          <w:rFonts w:ascii="Liberation Serif" w:hAnsi="Liberation Serif" w:cs="Times New Roman"/>
          <w:b w:val="0"/>
          <w:sz w:val="28"/>
          <w:szCs w:val="28"/>
        </w:rPr>
        <w:t>настоящее решение в газете «Шалинский вестник» и разместить на официальном сайте Думы Шалинского муниципального округа.</w:t>
      </w:r>
    </w:p>
    <w:p w:rsidR="00E931F9" w:rsidRDefault="000C359E">
      <w:pPr>
        <w:pStyle w:val="ConsPlusTitle"/>
        <w:widowControl/>
        <w:tabs>
          <w:tab w:val="left" w:pos="567"/>
        </w:tabs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ab/>
        <w:t xml:space="preserve">3. Контроль выполнения настоящего решения возложить на комитет по </w:t>
      </w:r>
      <w:r>
        <w:rPr>
          <w:rFonts w:ascii="Liberation Serif" w:hAnsi="Liberation Serif" w:cs="Times New Roman"/>
          <w:b w:val="0"/>
          <w:sz w:val="28"/>
          <w:szCs w:val="28"/>
        </w:rPr>
        <w:t>социальной политике, природопользованию и охране окружающей среды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(А.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В. Дергунов).</w:t>
      </w:r>
    </w:p>
    <w:p w:rsidR="00E931F9" w:rsidRDefault="00E931F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:rsidR="00E931F9" w:rsidRDefault="000C35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Глава Шалинского                                         Председатель Думы  </w:t>
      </w:r>
    </w:p>
    <w:p w:rsidR="00E931F9" w:rsidRDefault="000C35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муниципального округа                                Шалинского муниципального округа                </w:t>
      </w:r>
    </w:p>
    <w:p w:rsidR="00E931F9" w:rsidRDefault="00E931F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:rsidR="00E931F9" w:rsidRDefault="000C359E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</w:t>
      </w:r>
      <w:proofErr w:type="spellStart"/>
      <w:r>
        <w:rPr>
          <w:rFonts w:ascii="Liberation Serif" w:hAnsi="Liberation Serif" w:cs="Times New Roman"/>
          <w:sz w:val="28"/>
          <w:szCs w:val="28"/>
        </w:rPr>
        <w:t>А.П</w:t>
      </w:r>
      <w:proofErr w:type="spellEnd"/>
      <w:r>
        <w:rPr>
          <w:rFonts w:ascii="Liberation Serif" w:hAnsi="Liberation Serif" w:cs="Times New Roman"/>
          <w:sz w:val="28"/>
          <w:szCs w:val="28"/>
        </w:rPr>
        <w:t>. Богатырев                     ____________</w:t>
      </w:r>
      <w:r>
        <w:rPr>
          <w:rFonts w:ascii="Liberation Serif" w:hAnsi="Liberation Serif" w:cs="Times New Roman"/>
          <w:sz w:val="28"/>
          <w:szCs w:val="28"/>
        </w:rPr>
        <w:t xml:space="preserve">_ А. В.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Колченогов</w:t>
      </w:r>
      <w:proofErr w:type="spellEnd"/>
    </w:p>
    <w:p w:rsidR="00E931F9" w:rsidRDefault="00E931F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:rsidR="00E931F9" w:rsidRDefault="00E931F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:rsidR="00E931F9" w:rsidRDefault="00E931F9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:rsidR="00E931F9" w:rsidRDefault="000C359E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E931F9" w:rsidRDefault="00E931F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sectPr w:rsidR="00E931F9">
      <w:footerReference w:type="default" r:id="rId9"/>
      <w:pgSz w:w="12240" w:h="15840"/>
      <w:pgMar w:top="1276" w:right="900" w:bottom="1134" w:left="1701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9E" w:rsidRDefault="000C359E">
      <w:r>
        <w:separator/>
      </w:r>
    </w:p>
  </w:endnote>
  <w:endnote w:type="continuationSeparator" w:id="0">
    <w:p w:rsidR="000C359E" w:rsidRDefault="000C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F9" w:rsidRDefault="000C359E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7348220</wp:posOffset>
              </wp:positionH>
              <wp:positionV relativeFrom="paragraph">
                <wp:posOffset>635</wp:posOffset>
              </wp:positionV>
              <wp:extent cx="65405" cy="14795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31F9" w:rsidRDefault="00E931F9">
                          <w:pPr>
                            <w:pStyle w:val="a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578.6pt;margin-top:0.05pt;width:5.05pt;height:11.5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9E" w:rsidRDefault="000C359E">
      <w:r>
        <w:separator/>
      </w:r>
    </w:p>
  </w:footnote>
  <w:footnote w:type="continuationSeparator" w:id="0">
    <w:p w:rsidR="000C359E" w:rsidRDefault="000C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31F9"/>
    <w:rsid w:val="000C359E"/>
    <w:rsid w:val="00121397"/>
    <w:rsid w:val="00E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qFormat/>
    <w:rsid w:val="00186BB0"/>
    <w:rPr>
      <w:color w:val="auto"/>
    </w:rPr>
  </w:style>
  <w:style w:type="character" w:customStyle="1" w:styleId="WW8Num16z0">
    <w:name w:val="WW8Num16z0"/>
    <w:qFormat/>
    <w:rsid w:val="00186BB0"/>
    <w:rPr>
      <w:color w:val="auto"/>
    </w:rPr>
  </w:style>
  <w:style w:type="character" w:customStyle="1" w:styleId="10">
    <w:name w:val="Основной шрифт абзаца1"/>
    <w:qFormat/>
    <w:rsid w:val="00186BB0"/>
  </w:style>
  <w:style w:type="character" w:styleId="a3">
    <w:name w:val="page number"/>
    <w:basedOn w:val="10"/>
    <w:semiHidden/>
    <w:qFormat/>
    <w:rsid w:val="00186BB0"/>
  </w:style>
  <w:style w:type="character" w:customStyle="1" w:styleId="a4">
    <w:name w:val="Верхний колонтитул Знак"/>
    <w:basedOn w:val="a0"/>
    <w:uiPriority w:val="99"/>
    <w:semiHidden/>
    <w:qFormat/>
    <w:rsid w:val="002336A1"/>
    <w:rPr>
      <w:lang w:eastAsia="ar-SA"/>
    </w:rPr>
  </w:style>
  <w:style w:type="character" w:customStyle="1" w:styleId="apple-converted-space">
    <w:name w:val="apple-converted-space"/>
    <w:basedOn w:val="a0"/>
    <w:qFormat/>
    <w:rsid w:val="00AF1782"/>
  </w:style>
  <w:style w:type="character" w:customStyle="1" w:styleId="-">
    <w:name w:val="Интернет-ссылка"/>
    <w:basedOn w:val="a0"/>
    <w:uiPriority w:val="99"/>
    <w:unhideWhenUsed/>
    <w:rsid w:val="00A43420"/>
    <w:rPr>
      <w:color w:val="0000FF"/>
      <w:u w:val="single"/>
    </w:rPr>
  </w:style>
  <w:style w:type="character" w:customStyle="1" w:styleId="a5">
    <w:name w:val="Название Знак"/>
    <w:basedOn w:val="a0"/>
    <w:qFormat/>
    <w:rsid w:val="00802F70"/>
    <w:rPr>
      <w:b/>
      <w:sz w:val="28"/>
      <w:lang w:eastAsia="ar-SA"/>
    </w:rPr>
  </w:style>
  <w:style w:type="paragraph" w:customStyle="1" w:styleId="a6">
    <w:name w:val="Заголовок"/>
    <w:basedOn w:val="a"/>
    <w:next w:val="a7"/>
    <w:qFormat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186BB0"/>
    <w:pPr>
      <w:jc w:val="center"/>
    </w:pPr>
    <w:rPr>
      <w:sz w:val="28"/>
    </w:rPr>
  </w:style>
  <w:style w:type="paragraph" w:styleId="a8">
    <w:name w:val="List"/>
    <w:basedOn w:val="a7"/>
    <w:semiHidden/>
    <w:rsid w:val="00186BB0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86BB0"/>
    <w:pPr>
      <w:suppressLineNumbers/>
    </w:pPr>
    <w:rPr>
      <w:rFonts w:ascii="Arial" w:hAnsi="Arial" w:cs="Tahoma"/>
    </w:rPr>
  </w:style>
  <w:style w:type="paragraph" w:styleId="ab">
    <w:name w:val="Title"/>
    <w:basedOn w:val="a"/>
    <w:next w:val="ac"/>
    <w:qFormat/>
    <w:rsid w:val="00186BB0"/>
    <w:pPr>
      <w:jc w:val="center"/>
    </w:pPr>
    <w:rPr>
      <w:b/>
      <w:sz w:val="28"/>
    </w:rPr>
  </w:style>
  <w:style w:type="paragraph" w:styleId="ac">
    <w:name w:val="Subtitle"/>
    <w:basedOn w:val="a6"/>
    <w:next w:val="a7"/>
    <w:qFormat/>
    <w:rsid w:val="00186BB0"/>
    <w:pPr>
      <w:jc w:val="center"/>
    </w:pPr>
    <w:rPr>
      <w:i/>
      <w:iCs/>
    </w:rPr>
  </w:style>
  <w:style w:type="paragraph" w:styleId="ad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qFormat/>
    <w:rsid w:val="00186BB0"/>
    <w:pPr>
      <w:spacing w:after="120" w:line="480" w:lineRule="auto"/>
      <w:ind w:left="283"/>
    </w:pPr>
  </w:style>
  <w:style w:type="paragraph" w:styleId="af0">
    <w:name w:val="Balloon Text"/>
    <w:basedOn w:val="a"/>
    <w:qFormat/>
    <w:rsid w:val="00186BB0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rsid w:val="00186BB0"/>
    <w:pPr>
      <w:suppressLineNumbers/>
    </w:pPr>
  </w:style>
  <w:style w:type="paragraph" w:customStyle="1" w:styleId="af2">
    <w:name w:val="Заголовок таблицы"/>
    <w:basedOn w:val="af1"/>
    <w:qFormat/>
    <w:rsid w:val="00186BB0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186BB0"/>
  </w:style>
  <w:style w:type="paragraph" w:styleId="af4">
    <w:name w:val="header"/>
    <w:basedOn w:val="a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F34835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qFormat/>
    <w:rsid w:val="00A43420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AF4ADB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AF4ADB"/>
    <w:pPr>
      <w:widowControl w:val="0"/>
    </w:pPr>
    <w:rPr>
      <w:rFonts w:ascii="Arial" w:hAnsi="Arial" w:cs="Arial"/>
      <w:b/>
      <w:bCs/>
    </w:rPr>
  </w:style>
  <w:style w:type="table" w:styleId="af7">
    <w:name w:val="Table Grid"/>
    <w:basedOn w:val="a1"/>
    <w:rsid w:val="00AF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21FF-6982-402F-ABE6-620A6AC9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dc:description/>
  <cp:lastModifiedBy>user</cp:lastModifiedBy>
  <cp:revision>11</cp:revision>
  <cp:lastPrinted>2025-01-30T09:46:00Z</cp:lastPrinted>
  <dcterms:created xsi:type="dcterms:W3CDTF">2025-01-22T06:29:00Z</dcterms:created>
  <dcterms:modified xsi:type="dcterms:W3CDTF">2025-04-02T03:48:00Z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